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8E8DA">
      <w:pPr>
        <w:jc w:val="center"/>
        <w:rPr>
          <w:rFonts w:ascii="黑体" w:hAnsi="黑体" w:eastAsia="黑体"/>
          <w:b/>
          <w:sz w:val="32"/>
          <w:szCs w:val="32"/>
        </w:rPr>
      </w:pPr>
      <w:r>
        <w:rPr>
          <w:rFonts w:hint="eastAsia" w:ascii="黑体" w:hAnsi="黑体" w:eastAsia="黑体"/>
          <w:b/>
          <w:sz w:val="32"/>
          <w:szCs w:val="32"/>
        </w:rPr>
        <w:t>关于举办</w:t>
      </w:r>
      <w:r>
        <w:rPr>
          <w:rFonts w:ascii="黑体" w:hAnsi="黑体" w:eastAsia="黑体"/>
          <w:b/>
          <w:sz w:val="32"/>
          <w:szCs w:val="32"/>
        </w:rPr>
        <w:t>2025年泰州职业技术学院力学竞赛暨第十四届江苏省大学生力学竞赛选拔赛的通知</w:t>
      </w:r>
    </w:p>
    <w:p w14:paraId="1695D37B"/>
    <w:p w14:paraId="402C23A3">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为进一步促进学院力学基础课程的改革与建设，提升基础力学程的教学质量，根据省“第十四届江苏省大学生力学竞赛通知”要求和江苏省教育厅相关文件精神，经研究决定，举办202</w:t>
      </w:r>
      <w:r>
        <w:rPr>
          <w:rFonts w:ascii="仿宋" w:hAnsi="仿宋" w:eastAsia="仿宋" w:cs="宋体"/>
          <w:color w:val="000000"/>
          <w:kern w:val="0"/>
          <w:sz w:val="28"/>
          <w:szCs w:val="28"/>
        </w:rPr>
        <w:t>5</w:t>
      </w:r>
      <w:r>
        <w:rPr>
          <w:rFonts w:hint="eastAsia" w:ascii="仿宋" w:hAnsi="仿宋" w:eastAsia="仿宋" w:cs="宋体"/>
          <w:color w:val="000000"/>
          <w:kern w:val="0"/>
          <w:sz w:val="28"/>
          <w:szCs w:val="28"/>
        </w:rPr>
        <w:t>年泰州职业技术学院力学竞赛暨第十四届江苏省大学生力学竞赛选拔赛。</w:t>
      </w:r>
    </w:p>
    <w:p w14:paraId="15F06F9E">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1.组办单位：泰州职业技术学院教务处、建筑工程学院。</w:t>
      </w:r>
    </w:p>
    <w:p w14:paraId="032D44C1">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2.参赛对象：全校各专业学生，重点面向建筑工程技术、工程造价、道路桥梁工程技术、城市轨道交通工程技术、建筑设计、机电一体化技术、数控技术、工业机器人技术、智能控制技术等专业，也欢迎其他专业对力学感兴趣的同学参加。</w:t>
      </w:r>
    </w:p>
    <w:p w14:paraId="21DF6B0C">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3.竞赛科目与方式</w:t>
      </w:r>
    </w:p>
    <w:p w14:paraId="233A4651">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竞赛内容分为理论力学（仅含静力学内容）和材料力学两部分，重点考核力学基础知识及学生运用所学知识解决工程实际问题的能力。采用闭卷笔试方式，详细考试范围见附件二。</w:t>
      </w:r>
    </w:p>
    <w:p w14:paraId="5188F499">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4.报名及竞赛辅导</w:t>
      </w:r>
    </w:p>
    <w:p w14:paraId="30283C57">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（1）采用集体报名和个人报名相结合的方式，鼓励集体报名。</w:t>
      </w:r>
    </w:p>
    <w:p w14:paraId="5C5D2788">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（2）报名表见附件一，请于202</w:t>
      </w:r>
      <w:r>
        <w:rPr>
          <w:rFonts w:ascii="仿宋" w:hAnsi="仿宋" w:eastAsia="仿宋" w:cs="宋体"/>
          <w:color w:val="000000"/>
          <w:kern w:val="0"/>
          <w:sz w:val="28"/>
          <w:szCs w:val="28"/>
        </w:rPr>
        <w:t>5</w:t>
      </w:r>
      <w:r>
        <w:rPr>
          <w:rFonts w:hint="eastAsia" w:ascii="仿宋" w:hAnsi="仿宋" w:eastAsia="仿宋" w:cs="宋体"/>
          <w:color w:val="000000"/>
          <w:kern w:val="0"/>
          <w:sz w:val="28"/>
          <w:szCs w:val="28"/>
        </w:rPr>
        <w:t xml:space="preserve"> 年3 月8日前将电子版报名表发至邮箱573444068@qq.com。</w:t>
      </w:r>
    </w:p>
    <w:p w14:paraId="16C6746A">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（3）为方便参赛同学复习提高，每周一、二、三、四、五晚自习时间开展考前辅导。建工院517教室为力学竞赛辅导专用教室，参赛同学也可以在此教室自习。</w:t>
      </w:r>
    </w:p>
    <w:p w14:paraId="3DBCB0C7">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（4）本次竞赛及考前辅导完全免费，不收任何形式的费用。</w:t>
      </w:r>
    </w:p>
    <w:p w14:paraId="3FFC9366">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5．竞赛时间和地点</w:t>
      </w:r>
    </w:p>
    <w:p w14:paraId="6815473C">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个人赛将于202</w:t>
      </w:r>
      <w:r>
        <w:rPr>
          <w:rFonts w:ascii="仿宋" w:hAnsi="仿宋" w:eastAsia="仿宋" w:cs="宋体"/>
          <w:color w:val="000000"/>
          <w:kern w:val="0"/>
          <w:sz w:val="28"/>
          <w:szCs w:val="28"/>
        </w:rPr>
        <w:t>5</w:t>
      </w:r>
      <w:r>
        <w:rPr>
          <w:rFonts w:hint="eastAsia" w:ascii="仿宋" w:hAnsi="仿宋" w:eastAsia="仿宋" w:cs="宋体"/>
          <w:color w:val="000000"/>
          <w:kern w:val="0"/>
          <w:sz w:val="28"/>
          <w:szCs w:val="28"/>
        </w:rPr>
        <w:t>年3月1</w:t>
      </w:r>
      <w:r>
        <w:rPr>
          <w:rFonts w:ascii="仿宋" w:hAnsi="仿宋" w:eastAsia="仿宋" w:cs="宋体"/>
          <w:color w:val="000000"/>
          <w:kern w:val="0"/>
          <w:sz w:val="28"/>
          <w:szCs w:val="28"/>
        </w:rPr>
        <w:t>6</w:t>
      </w:r>
      <w:r>
        <w:rPr>
          <w:rFonts w:hint="eastAsia" w:ascii="仿宋" w:hAnsi="仿宋" w:eastAsia="仿宋" w:cs="宋体"/>
          <w:color w:val="000000"/>
          <w:kern w:val="0"/>
          <w:sz w:val="28"/>
          <w:szCs w:val="28"/>
        </w:rPr>
        <w:t xml:space="preserve"> 日（星期日）上午8:30－12:00 在建工517举行。</w:t>
      </w:r>
    </w:p>
    <w:p w14:paraId="46AC26AB">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6．奖励办法</w:t>
      </w:r>
    </w:p>
    <w:p w14:paraId="162898DA">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本次竞赛个人奖设一等、二等、三等奖。获奖比例（以报名总人数为基准计算）：一等奖2 %，二等奖10 %，三等奖16 %。</w:t>
      </w:r>
    </w:p>
    <w:p w14:paraId="11FE6FB8">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7．其它需要说明的事项</w:t>
      </w:r>
    </w:p>
    <w:p w14:paraId="34AA3F54">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比赛相关问题可咨询建筑工程学院姜荣斌老师，电话13852606610，邮箱573444068@qq.com。</w:t>
      </w:r>
    </w:p>
    <w:p w14:paraId="37BC051C"/>
    <w:p w14:paraId="4F7D9038">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希望各分院积极做好参赛动员、组织工作。</w:t>
      </w:r>
    </w:p>
    <w:p w14:paraId="79EE2DE4">
      <w:pPr>
        <w:ind w:firstLine="560"/>
        <w:jc w:val="left"/>
        <w:rPr>
          <w:rFonts w:ascii="宋体" w:hAnsi="宋体" w:eastAsia="宋体" w:cs="宋体"/>
          <w:kern w:val="0"/>
          <w:sz w:val="24"/>
          <w:szCs w:val="24"/>
        </w:rPr>
      </w:pPr>
      <w:r>
        <w:rPr>
          <w:rFonts w:ascii="Calibri" w:hAnsi="Calibri" w:eastAsia="仿宋" w:cs="Calibri"/>
          <w:color w:val="000000"/>
          <w:kern w:val="0"/>
          <w:sz w:val="28"/>
          <w:szCs w:val="28"/>
        </w:rPr>
        <w:t xml:space="preserve">               </w:t>
      </w:r>
      <w:r>
        <w:rPr>
          <w:rFonts w:hint="eastAsia" w:ascii="仿宋" w:hAnsi="仿宋" w:eastAsia="仿宋" w:cs="宋体"/>
          <w:color w:val="000000"/>
          <w:kern w:val="0"/>
          <w:sz w:val="28"/>
          <w:szCs w:val="28"/>
        </w:rPr>
        <w:t xml:space="preserve"> 教务处、建筑工程学院</w:t>
      </w:r>
    </w:p>
    <w:p w14:paraId="5406A1DF">
      <w:pPr>
        <w:ind w:firstLine="560"/>
        <w:jc w:val="left"/>
        <w:rPr>
          <w:rFonts w:ascii="宋体" w:hAnsi="宋体" w:eastAsia="宋体" w:cs="宋体"/>
          <w:kern w:val="0"/>
          <w:sz w:val="24"/>
          <w:szCs w:val="24"/>
        </w:rPr>
      </w:pPr>
      <w:bookmarkStart w:id="0" w:name="_GoBack"/>
      <w:bookmarkEnd w:id="0"/>
      <w:r>
        <w:rPr>
          <w:rFonts w:ascii="仿宋" w:hAnsi="仿宋" w:eastAsia="仿宋" w:cs="宋体"/>
          <w:color w:val="000000"/>
          <w:kern w:val="0"/>
          <w:sz w:val="28"/>
          <w:szCs w:val="28"/>
        </w:rPr>
        <w:t xml:space="preserve">                    </w:t>
      </w:r>
      <w:r>
        <w:rPr>
          <w:rFonts w:hint="eastAsia" w:ascii="仿宋" w:hAnsi="仿宋" w:eastAsia="仿宋" w:cs="宋体"/>
          <w:color w:val="000000"/>
          <w:kern w:val="0"/>
          <w:sz w:val="28"/>
          <w:szCs w:val="28"/>
        </w:rPr>
        <w:t>202</w:t>
      </w:r>
      <w:r>
        <w:rPr>
          <w:rFonts w:ascii="仿宋" w:hAnsi="仿宋" w:eastAsia="仿宋" w:cs="宋体"/>
          <w:color w:val="000000"/>
          <w:kern w:val="0"/>
          <w:sz w:val="28"/>
          <w:szCs w:val="28"/>
        </w:rPr>
        <w:t>5</w:t>
      </w:r>
      <w:r>
        <w:rPr>
          <w:rFonts w:hint="eastAsia" w:ascii="仿宋" w:hAnsi="仿宋" w:eastAsia="仿宋" w:cs="宋体"/>
          <w:color w:val="000000"/>
          <w:kern w:val="0"/>
          <w:sz w:val="28"/>
          <w:szCs w:val="28"/>
        </w:rPr>
        <w:t>年</w:t>
      </w:r>
      <w:r>
        <w:rPr>
          <w:rFonts w:ascii="仿宋" w:hAnsi="仿宋" w:eastAsia="仿宋" w:cs="宋体"/>
          <w:color w:val="000000"/>
          <w:kern w:val="0"/>
          <w:sz w:val="28"/>
          <w:szCs w:val="28"/>
        </w:rPr>
        <w:t>3</w:t>
      </w:r>
      <w:r>
        <w:rPr>
          <w:rFonts w:hint="eastAsia" w:ascii="仿宋" w:hAnsi="仿宋" w:eastAsia="仿宋" w:cs="宋体"/>
          <w:color w:val="000000"/>
          <w:kern w:val="0"/>
          <w:sz w:val="28"/>
          <w:szCs w:val="28"/>
        </w:rPr>
        <w:t>月</w:t>
      </w:r>
      <w:r>
        <w:rPr>
          <w:rFonts w:ascii="仿宋" w:hAnsi="仿宋" w:eastAsia="仿宋" w:cs="宋体"/>
          <w:color w:val="000000"/>
          <w:kern w:val="0"/>
          <w:sz w:val="28"/>
          <w:szCs w:val="28"/>
        </w:rPr>
        <w:t>3</w:t>
      </w:r>
      <w:r>
        <w:rPr>
          <w:rFonts w:hint="eastAsia" w:ascii="仿宋" w:hAnsi="仿宋" w:eastAsia="仿宋" w:cs="宋体"/>
          <w:color w:val="000000"/>
          <w:kern w:val="0"/>
          <w:sz w:val="28"/>
          <w:szCs w:val="28"/>
        </w:rPr>
        <w:t>日</w:t>
      </w:r>
    </w:p>
    <w:p w14:paraId="66F6C7DA">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附件：</w:t>
      </w:r>
    </w:p>
    <w:p w14:paraId="425CCFD4">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一、报名表</w:t>
      </w:r>
    </w:p>
    <w:p w14:paraId="71ADC8B9">
      <w:pPr>
        <w:ind w:firstLine="560" w:firstLineChars="200"/>
      </w:pPr>
      <w:r>
        <w:rPr>
          <w:rFonts w:hint="eastAsia" w:ascii="仿宋" w:hAnsi="仿宋" w:eastAsia="仿宋" w:cs="宋体"/>
          <w:color w:val="000000"/>
          <w:kern w:val="0"/>
          <w:sz w:val="28"/>
          <w:szCs w:val="28"/>
        </w:rPr>
        <w:t>二、考试范围</w:t>
      </w:r>
    </w:p>
    <w:p w14:paraId="0164A28E">
      <w:pPr>
        <w:widowControl/>
        <w:jc w:val="left"/>
        <w:rPr>
          <w:rFonts w:ascii="仿宋" w:hAnsi="仿宋" w:eastAsia="仿宋" w:cs="宋体"/>
          <w:color w:val="000000"/>
          <w:kern w:val="0"/>
          <w:sz w:val="28"/>
          <w:szCs w:val="28"/>
        </w:rPr>
      </w:pPr>
      <w:r>
        <w:rPr>
          <w:rFonts w:ascii="仿宋" w:hAnsi="仿宋" w:eastAsia="仿宋" w:cs="宋体"/>
          <w:color w:val="000000"/>
          <w:kern w:val="0"/>
          <w:sz w:val="28"/>
          <w:szCs w:val="28"/>
        </w:rPr>
        <w:br w:type="page"/>
      </w:r>
    </w:p>
    <w:p w14:paraId="581CB8E9">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 xml:space="preserve">附件一： </w:t>
      </w:r>
    </w:p>
    <w:p w14:paraId="39D4993B">
      <w:pPr>
        <w:ind w:firstLine="562"/>
        <w:jc w:val="center"/>
        <w:rPr>
          <w:rFonts w:ascii="宋体" w:hAnsi="宋体" w:eastAsia="宋体" w:cs="宋体"/>
          <w:kern w:val="0"/>
          <w:sz w:val="24"/>
          <w:szCs w:val="24"/>
        </w:rPr>
      </w:pPr>
      <w:r>
        <w:rPr>
          <w:rFonts w:hint="eastAsia" w:ascii="仿宋" w:hAnsi="仿宋" w:eastAsia="仿宋" w:cs="宋体"/>
          <w:b/>
          <w:bCs/>
          <w:color w:val="000000"/>
          <w:kern w:val="0"/>
          <w:sz w:val="28"/>
          <w:szCs w:val="28"/>
        </w:rPr>
        <w:t>2</w:t>
      </w:r>
      <w:r>
        <w:rPr>
          <w:rFonts w:ascii="仿宋" w:hAnsi="仿宋" w:eastAsia="仿宋" w:cs="宋体"/>
          <w:b/>
          <w:bCs/>
          <w:color w:val="000000"/>
          <w:kern w:val="0"/>
          <w:sz w:val="28"/>
          <w:szCs w:val="28"/>
        </w:rPr>
        <w:t>025</w:t>
      </w:r>
      <w:r>
        <w:rPr>
          <w:rFonts w:hint="eastAsia" w:ascii="仿宋" w:hAnsi="仿宋" w:eastAsia="仿宋" w:cs="宋体"/>
          <w:b/>
          <w:bCs/>
          <w:color w:val="000000"/>
          <w:kern w:val="0"/>
          <w:sz w:val="28"/>
          <w:szCs w:val="28"/>
        </w:rPr>
        <w:t>年泰州职业技术学院力学竞赛暨第十四届江苏省大学生力学竞赛选拔赛报名表</w:t>
      </w:r>
    </w:p>
    <w:tbl>
      <w:tblPr>
        <w:tblStyle w:val="3"/>
        <w:tblW w:w="0" w:type="auto"/>
        <w:tblCellSpacing w:w="0" w:type="dxa"/>
        <w:tblInd w:w="-431" w:type="dxa"/>
        <w:tblLayout w:type="autofit"/>
        <w:tblCellMar>
          <w:top w:w="0" w:type="dxa"/>
          <w:left w:w="108" w:type="dxa"/>
          <w:bottom w:w="0" w:type="dxa"/>
          <w:right w:w="108" w:type="dxa"/>
        </w:tblCellMar>
      </w:tblPr>
      <w:tblGrid>
        <w:gridCol w:w="710"/>
        <w:gridCol w:w="1134"/>
        <w:gridCol w:w="850"/>
        <w:gridCol w:w="851"/>
        <w:gridCol w:w="992"/>
        <w:gridCol w:w="1134"/>
        <w:gridCol w:w="1680"/>
        <w:gridCol w:w="1580"/>
      </w:tblGrid>
      <w:tr w14:paraId="23EEF64B">
        <w:tblPrEx>
          <w:tblCellMar>
            <w:top w:w="0" w:type="dxa"/>
            <w:left w:w="108" w:type="dxa"/>
            <w:bottom w:w="0" w:type="dxa"/>
            <w:right w:w="108" w:type="dxa"/>
          </w:tblCellMar>
        </w:tblPrEx>
        <w:trPr>
          <w:trHeight w:val="270" w:hRule="atLeast"/>
          <w:tblCellSpacing w:w="0" w:type="dxa"/>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4A200">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序号</w:t>
            </w:r>
          </w:p>
        </w:tc>
        <w:tc>
          <w:tcPr>
            <w:tcW w:w="1134" w:type="dxa"/>
            <w:tcBorders>
              <w:top w:val="single" w:color="000000" w:sz="4" w:space="0"/>
              <w:left w:val="nil"/>
              <w:bottom w:val="single" w:color="000000" w:sz="4" w:space="0"/>
              <w:right w:val="single" w:color="000000" w:sz="4" w:space="0"/>
            </w:tcBorders>
            <w:shd w:val="clear" w:color="auto" w:fill="FFFFFF"/>
            <w:vAlign w:val="center"/>
          </w:tcPr>
          <w:p w14:paraId="47A70707">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姓名</w:t>
            </w:r>
          </w:p>
        </w:tc>
        <w:tc>
          <w:tcPr>
            <w:tcW w:w="850" w:type="dxa"/>
            <w:tcBorders>
              <w:top w:val="single" w:color="000000" w:sz="4" w:space="0"/>
              <w:left w:val="nil"/>
              <w:bottom w:val="single" w:color="000000" w:sz="4" w:space="0"/>
              <w:right w:val="single" w:color="000000" w:sz="4" w:space="0"/>
            </w:tcBorders>
            <w:shd w:val="clear" w:color="auto" w:fill="FFFFFF"/>
            <w:vAlign w:val="center"/>
          </w:tcPr>
          <w:p w14:paraId="0B58C6AF">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性别</w:t>
            </w:r>
          </w:p>
        </w:tc>
        <w:tc>
          <w:tcPr>
            <w:tcW w:w="851" w:type="dxa"/>
            <w:tcBorders>
              <w:top w:val="single" w:color="000000" w:sz="4" w:space="0"/>
              <w:left w:val="nil"/>
              <w:bottom w:val="single" w:color="000000" w:sz="4" w:space="0"/>
              <w:right w:val="single" w:color="000000" w:sz="4" w:space="0"/>
            </w:tcBorders>
            <w:shd w:val="clear" w:color="auto" w:fill="FFFFFF"/>
            <w:vAlign w:val="center"/>
          </w:tcPr>
          <w:p w14:paraId="403CCE1B">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分院</w:t>
            </w:r>
          </w:p>
        </w:tc>
        <w:tc>
          <w:tcPr>
            <w:tcW w:w="992" w:type="dxa"/>
            <w:tcBorders>
              <w:top w:val="single" w:color="000000" w:sz="4" w:space="0"/>
              <w:left w:val="nil"/>
              <w:bottom w:val="single" w:color="000000" w:sz="4" w:space="0"/>
              <w:right w:val="single" w:color="000000" w:sz="4" w:space="0"/>
            </w:tcBorders>
            <w:shd w:val="clear" w:color="auto" w:fill="FFFFFF"/>
            <w:vAlign w:val="center"/>
          </w:tcPr>
          <w:p w14:paraId="7FF09315">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专业</w:t>
            </w:r>
          </w:p>
        </w:tc>
        <w:tc>
          <w:tcPr>
            <w:tcW w:w="1134" w:type="dxa"/>
            <w:tcBorders>
              <w:top w:val="single" w:color="000000" w:sz="4" w:space="0"/>
              <w:left w:val="nil"/>
              <w:bottom w:val="single" w:color="000000" w:sz="4" w:space="0"/>
              <w:right w:val="single" w:color="000000" w:sz="4" w:space="0"/>
            </w:tcBorders>
            <w:shd w:val="clear" w:color="auto" w:fill="FFFFFF"/>
            <w:vAlign w:val="center"/>
          </w:tcPr>
          <w:p w14:paraId="3375042F">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班级</w:t>
            </w:r>
          </w:p>
        </w:tc>
        <w:tc>
          <w:tcPr>
            <w:tcW w:w="1680" w:type="dxa"/>
            <w:tcBorders>
              <w:top w:val="single" w:color="000000" w:sz="4" w:space="0"/>
              <w:left w:val="nil"/>
              <w:bottom w:val="single" w:color="000000" w:sz="4" w:space="0"/>
              <w:right w:val="single" w:color="000000" w:sz="4" w:space="0"/>
            </w:tcBorders>
            <w:shd w:val="clear" w:color="auto" w:fill="FFFFFF"/>
            <w:vAlign w:val="center"/>
          </w:tcPr>
          <w:p w14:paraId="10EE0C35">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身份证号</w:t>
            </w:r>
          </w:p>
        </w:tc>
        <w:tc>
          <w:tcPr>
            <w:tcW w:w="1580" w:type="dxa"/>
            <w:tcBorders>
              <w:top w:val="single" w:color="000000" w:sz="4" w:space="0"/>
              <w:left w:val="nil"/>
              <w:bottom w:val="single" w:color="000000" w:sz="4" w:space="0"/>
              <w:right w:val="single" w:color="000000" w:sz="4" w:space="0"/>
            </w:tcBorders>
            <w:shd w:val="clear" w:color="auto" w:fill="FFFFFF"/>
            <w:vAlign w:val="center"/>
          </w:tcPr>
          <w:p w14:paraId="3BA36B69">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手机号</w:t>
            </w:r>
          </w:p>
        </w:tc>
      </w:tr>
      <w:tr w14:paraId="62AD5320">
        <w:tblPrEx>
          <w:tblCellMar>
            <w:top w:w="0" w:type="dxa"/>
            <w:left w:w="108" w:type="dxa"/>
            <w:bottom w:w="0" w:type="dxa"/>
            <w:right w:w="108" w:type="dxa"/>
          </w:tblCellMar>
        </w:tblPrEx>
        <w:trPr>
          <w:trHeight w:val="270" w:hRule="atLeast"/>
          <w:tblCellSpacing w:w="0" w:type="dxa"/>
        </w:trPr>
        <w:tc>
          <w:tcPr>
            <w:tcW w:w="710" w:type="dxa"/>
            <w:tcBorders>
              <w:top w:val="nil"/>
              <w:left w:val="single" w:color="000000" w:sz="4" w:space="0"/>
              <w:bottom w:val="single" w:color="000000" w:sz="4" w:space="0"/>
              <w:right w:val="single" w:color="000000" w:sz="4" w:space="0"/>
            </w:tcBorders>
            <w:shd w:val="clear" w:color="auto" w:fill="FFFFFF"/>
            <w:vAlign w:val="center"/>
          </w:tcPr>
          <w:p w14:paraId="15E233AD">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0"/>
                <w:szCs w:val="20"/>
              </w:rPr>
              <w:t> </w:t>
            </w:r>
          </w:p>
        </w:tc>
        <w:tc>
          <w:tcPr>
            <w:tcW w:w="1134" w:type="dxa"/>
            <w:tcBorders>
              <w:top w:val="nil"/>
              <w:left w:val="nil"/>
              <w:bottom w:val="single" w:color="000000" w:sz="4" w:space="0"/>
              <w:right w:val="single" w:color="000000" w:sz="4" w:space="0"/>
            </w:tcBorders>
            <w:shd w:val="clear" w:color="auto" w:fill="FFFFFF"/>
            <w:vAlign w:val="center"/>
          </w:tcPr>
          <w:p w14:paraId="18042BD5">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0"/>
                <w:szCs w:val="20"/>
              </w:rPr>
              <w:t> </w:t>
            </w:r>
          </w:p>
        </w:tc>
        <w:tc>
          <w:tcPr>
            <w:tcW w:w="850" w:type="dxa"/>
            <w:tcBorders>
              <w:top w:val="nil"/>
              <w:left w:val="nil"/>
              <w:bottom w:val="single" w:color="000000" w:sz="4" w:space="0"/>
              <w:right w:val="single" w:color="000000" w:sz="4" w:space="0"/>
            </w:tcBorders>
            <w:shd w:val="clear" w:color="auto" w:fill="FFFFFF"/>
            <w:vAlign w:val="center"/>
          </w:tcPr>
          <w:p w14:paraId="1DDA2E96">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0"/>
                <w:szCs w:val="20"/>
              </w:rPr>
              <w:t> </w:t>
            </w:r>
          </w:p>
        </w:tc>
        <w:tc>
          <w:tcPr>
            <w:tcW w:w="851" w:type="dxa"/>
            <w:tcBorders>
              <w:top w:val="nil"/>
              <w:left w:val="nil"/>
              <w:bottom w:val="single" w:color="000000" w:sz="4" w:space="0"/>
              <w:right w:val="single" w:color="000000" w:sz="4" w:space="0"/>
            </w:tcBorders>
            <w:shd w:val="clear" w:color="auto" w:fill="FFFFFF"/>
            <w:vAlign w:val="center"/>
          </w:tcPr>
          <w:p w14:paraId="7746D2DF">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0"/>
                <w:szCs w:val="20"/>
              </w:rPr>
              <w:t> </w:t>
            </w:r>
          </w:p>
        </w:tc>
        <w:tc>
          <w:tcPr>
            <w:tcW w:w="992" w:type="dxa"/>
            <w:tcBorders>
              <w:top w:val="nil"/>
              <w:left w:val="nil"/>
              <w:bottom w:val="single" w:color="000000" w:sz="4" w:space="0"/>
              <w:right w:val="single" w:color="000000" w:sz="4" w:space="0"/>
            </w:tcBorders>
            <w:shd w:val="clear" w:color="auto" w:fill="FFFFFF"/>
            <w:vAlign w:val="center"/>
          </w:tcPr>
          <w:p w14:paraId="524D94B1">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 </w:t>
            </w:r>
          </w:p>
        </w:tc>
        <w:tc>
          <w:tcPr>
            <w:tcW w:w="1134" w:type="dxa"/>
            <w:tcBorders>
              <w:top w:val="nil"/>
              <w:left w:val="nil"/>
              <w:bottom w:val="single" w:color="000000" w:sz="4" w:space="0"/>
              <w:right w:val="single" w:color="000000" w:sz="4" w:space="0"/>
            </w:tcBorders>
            <w:shd w:val="clear" w:color="auto" w:fill="FFFFFF"/>
            <w:vAlign w:val="center"/>
          </w:tcPr>
          <w:p w14:paraId="0220E1E9">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 </w:t>
            </w:r>
          </w:p>
        </w:tc>
        <w:tc>
          <w:tcPr>
            <w:tcW w:w="1680" w:type="dxa"/>
            <w:tcBorders>
              <w:top w:val="nil"/>
              <w:left w:val="nil"/>
              <w:bottom w:val="single" w:color="000000" w:sz="4" w:space="0"/>
              <w:right w:val="single" w:color="000000" w:sz="4" w:space="0"/>
            </w:tcBorders>
            <w:shd w:val="clear" w:color="auto" w:fill="FFFFFF"/>
            <w:vAlign w:val="center"/>
          </w:tcPr>
          <w:p w14:paraId="4D78E7CF">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0"/>
                <w:szCs w:val="20"/>
              </w:rPr>
              <w:t> </w:t>
            </w:r>
          </w:p>
        </w:tc>
        <w:tc>
          <w:tcPr>
            <w:tcW w:w="1580" w:type="dxa"/>
            <w:tcBorders>
              <w:top w:val="nil"/>
              <w:left w:val="nil"/>
              <w:bottom w:val="single" w:color="000000" w:sz="4" w:space="0"/>
              <w:right w:val="single" w:color="000000" w:sz="4" w:space="0"/>
            </w:tcBorders>
            <w:shd w:val="clear" w:color="auto" w:fill="FFFFFF"/>
            <w:vAlign w:val="center"/>
          </w:tcPr>
          <w:p w14:paraId="7341F928">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0"/>
                <w:szCs w:val="20"/>
              </w:rPr>
              <w:t> </w:t>
            </w:r>
          </w:p>
        </w:tc>
      </w:tr>
      <w:tr w14:paraId="36FE8FA2">
        <w:tblPrEx>
          <w:tblCellMar>
            <w:top w:w="0" w:type="dxa"/>
            <w:left w:w="108" w:type="dxa"/>
            <w:bottom w:w="0" w:type="dxa"/>
            <w:right w:w="108" w:type="dxa"/>
          </w:tblCellMar>
        </w:tblPrEx>
        <w:trPr>
          <w:trHeight w:val="270" w:hRule="atLeast"/>
          <w:tblCellSpacing w:w="0" w:type="dxa"/>
        </w:trPr>
        <w:tc>
          <w:tcPr>
            <w:tcW w:w="710" w:type="dxa"/>
            <w:tcBorders>
              <w:top w:val="nil"/>
              <w:left w:val="single" w:color="000000" w:sz="4" w:space="0"/>
              <w:bottom w:val="single" w:color="000000" w:sz="4" w:space="0"/>
              <w:right w:val="single" w:color="000000" w:sz="4" w:space="0"/>
            </w:tcBorders>
            <w:shd w:val="clear" w:color="auto" w:fill="FFFFFF"/>
            <w:vAlign w:val="center"/>
          </w:tcPr>
          <w:p w14:paraId="16B98493">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0"/>
                <w:szCs w:val="20"/>
              </w:rPr>
              <w:t> </w:t>
            </w:r>
          </w:p>
        </w:tc>
        <w:tc>
          <w:tcPr>
            <w:tcW w:w="1134" w:type="dxa"/>
            <w:tcBorders>
              <w:top w:val="nil"/>
              <w:left w:val="nil"/>
              <w:bottom w:val="single" w:color="000000" w:sz="4" w:space="0"/>
              <w:right w:val="single" w:color="000000" w:sz="4" w:space="0"/>
            </w:tcBorders>
            <w:shd w:val="clear" w:color="auto" w:fill="FFFFFF"/>
            <w:vAlign w:val="center"/>
          </w:tcPr>
          <w:p w14:paraId="6C6EDE90">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0"/>
                <w:szCs w:val="20"/>
              </w:rPr>
              <w:t> </w:t>
            </w:r>
          </w:p>
        </w:tc>
        <w:tc>
          <w:tcPr>
            <w:tcW w:w="850" w:type="dxa"/>
            <w:tcBorders>
              <w:top w:val="nil"/>
              <w:left w:val="nil"/>
              <w:bottom w:val="single" w:color="000000" w:sz="4" w:space="0"/>
              <w:right w:val="single" w:color="000000" w:sz="4" w:space="0"/>
            </w:tcBorders>
            <w:shd w:val="clear" w:color="auto" w:fill="FFFFFF"/>
            <w:vAlign w:val="center"/>
          </w:tcPr>
          <w:p w14:paraId="1D8DA4E3">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0"/>
                <w:szCs w:val="20"/>
              </w:rPr>
              <w:t> </w:t>
            </w:r>
          </w:p>
        </w:tc>
        <w:tc>
          <w:tcPr>
            <w:tcW w:w="851" w:type="dxa"/>
            <w:tcBorders>
              <w:top w:val="nil"/>
              <w:left w:val="nil"/>
              <w:bottom w:val="single" w:color="000000" w:sz="4" w:space="0"/>
              <w:right w:val="single" w:color="000000" w:sz="4" w:space="0"/>
            </w:tcBorders>
            <w:shd w:val="clear" w:color="auto" w:fill="FFFFFF"/>
            <w:vAlign w:val="center"/>
          </w:tcPr>
          <w:p w14:paraId="4C0EF2EC">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0"/>
                <w:szCs w:val="20"/>
              </w:rPr>
              <w:t> </w:t>
            </w:r>
          </w:p>
        </w:tc>
        <w:tc>
          <w:tcPr>
            <w:tcW w:w="992" w:type="dxa"/>
            <w:tcBorders>
              <w:top w:val="nil"/>
              <w:left w:val="nil"/>
              <w:bottom w:val="single" w:color="000000" w:sz="4" w:space="0"/>
              <w:right w:val="single" w:color="000000" w:sz="4" w:space="0"/>
            </w:tcBorders>
            <w:shd w:val="clear" w:color="auto" w:fill="FFFFFF"/>
            <w:vAlign w:val="center"/>
          </w:tcPr>
          <w:p w14:paraId="56495EDB">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 </w:t>
            </w:r>
          </w:p>
        </w:tc>
        <w:tc>
          <w:tcPr>
            <w:tcW w:w="1134" w:type="dxa"/>
            <w:tcBorders>
              <w:top w:val="nil"/>
              <w:left w:val="nil"/>
              <w:bottom w:val="single" w:color="000000" w:sz="4" w:space="0"/>
              <w:right w:val="single" w:color="000000" w:sz="4" w:space="0"/>
            </w:tcBorders>
            <w:shd w:val="clear" w:color="auto" w:fill="FFFFFF"/>
            <w:vAlign w:val="center"/>
          </w:tcPr>
          <w:p w14:paraId="36CA4208">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 </w:t>
            </w:r>
          </w:p>
        </w:tc>
        <w:tc>
          <w:tcPr>
            <w:tcW w:w="1680" w:type="dxa"/>
            <w:tcBorders>
              <w:top w:val="nil"/>
              <w:left w:val="nil"/>
              <w:bottom w:val="single" w:color="000000" w:sz="4" w:space="0"/>
              <w:right w:val="single" w:color="000000" w:sz="4" w:space="0"/>
            </w:tcBorders>
            <w:shd w:val="clear" w:color="auto" w:fill="FFFFFF"/>
            <w:vAlign w:val="center"/>
          </w:tcPr>
          <w:p w14:paraId="6290B566">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0"/>
                <w:szCs w:val="20"/>
              </w:rPr>
              <w:t> </w:t>
            </w:r>
          </w:p>
        </w:tc>
        <w:tc>
          <w:tcPr>
            <w:tcW w:w="1580" w:type="dxa"/>
            <w:tcBorders>
              <w:top w:val="nil"/>
              <w:left w:val="nil"/>
              <w:bottom w:val="single" w:color="000000" w:sz="4" w:space="0"/>
              <w:right w:val="single" w:color="000000" w:sz="4" w:space="0"/>
            </w:tcBorders>
            <w:shd w:val="clear" w:color="auto" w:fill="FFFFFF"/>
            <w:vAlign w:val="center"/>
          </w:tcPr>
          <w:p w14:paraId="58B3A5EE">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0"/>
                <w:szCs w:val="20"/>
              </w:rPr>
              <w:t> </w:t>
            </w:r>
          </w:p>
        </w:tc>
      </w:tr>
      <w:tr w14:paraId="6BF6BADC">
        <w:tblPrEx>
          <w:tblCellMar>
            <w:top w:w="0" w:type="dxa"/>
            <w:left w:w="108" w:type="dxa"/>
            <w:bottom w:w="0" w:type="dxa"/>
            <w:right w:w="108" w:type="dxa"/>
          </w:tblCellMar>
        </w:tblPrEx>
        <w:trPr>
          <w:trHeight w:val="270" w:hRule="atLeast"/>
          <w:tblCellSpacing w:w="0" w:type="dxa"/>
        </w:trPr>
        <w:tc>
          <w:tcPr>
            <w:tcW w:w="710" w:type="dxa"/>
            <w:tcBorders>
              <w:top w:val="nil"/>
              <w:left w:val="single" w:color="000000" w:sz="4" w:space="0"/>
              <w:bottom w:val="single" w:color="000000" w:sz="4" w:space="0"/>
              <w:right w:val="single" w:color="000000" w:sz="4" w:space="0"/>
            </w:tcBorders>
            <w:shd w:val="clear" w:color="auto" w:fill="FFFFFF"/>
            <w:vAlign w:val="center"/>
          </w:tcPr>
          <w:p w14:paraId="21628A4D">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0"/>
                <w:szCs w:val="20"/>
              </w:rPr>
              <w:t> </w:t>
            </w:r>
          </w:p>
        </w:tc>
        <w:tc>
          <w:tcPr>
            <w:tcW w:w="1134" w:type="dxa"/>
            <w:tcBorders>
              <w:top w:val="nil"/>
              <w:left w:val="nil"/>
              <w:bottom w:val="single" w:color="000000" w:sz="4" w:space="0"/>
              <w:right w:val="single" w:color="000000" w:sz="4" w:space="0"/>
            </w:tcBorders>
            <w:shd w:val="clear" w:color="auto" w:fill="FFFFFF"/>
            <w:vAlign w:val="center"/>
          </w:tcPr>
          <w:p w14:paraId="7A23C42B">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0"/>
                <w:szCs w:val="20"/>
              </w:rPr>
              <w:t> </w:t>
            </w:r>
          </w:p>
        </w:tc>
        <w:tc>
          <w:tcPr>
            <w:tcW w:w="850" w:type="dxa"/>
            <w:tcBorders>
              <w:top w:val="nil"/>
              <w:left w:val="nil"/>
              <w:bottom w:val="single" w:color="000000" w:sz="4" w:space="0"/>
              <w:right w:val="single" w:color="000000" w:sz="4" w:space="0"/>
            </w:tcBorders>
            <w:shd w:val="clear" w:color="auto" w:fill="FFFFFF"/>
            <w:vAlign w:val="center"/>
          </w:tcPr>
          <w:p w14:paraId="7A17173D">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0"/>
                <w:szCs w:val="20"/>
              </w:rPr>
              <w:t> </w:t>
            </w:r>
          </w:p>
        </w:tc>
        <w:tc>
          <w:tcPr>
            <w:tcW w:w="851" w:type="dxa"/>
            <w:tcBorders>
              <w:top w:val="nil"/>
              <w:left w:val="nil"/>
              <w:bottom w:val="single" w:color="000000" w:sz="4" w:space="0"/>
              <w:right w:val="single" w:color="000000" w:sz="4" w:space="0"/>
            </w:tcBorders>
            <w:shd w:val="clear" w:color="auto" w:fill="FFFFFF"/>
            <w:vAlign w:val="center"/>
          </w:tcPr>
          <w:p w14:paraId="066A257D">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0"/>
                <w:szCs w:val="20"/>
              </w:rPr>
              <w:t> </w:t>
            </w:r>
          </w:p>
        </w:tc>
        <w:tc>
          <w:tcPr>
            <w:tcW w:w="992" w:type="dxa"/>
            <w:tcBorders>
              <w:top w:val="nil"/>
              <w:left w:val="nil"/>
              <w:bottom w:val="single" w:color="000000" w:sz="4" w:space="0"/>
              <w:right w:val="single" w:color="000000" w:sz="4" w:space="0"/>
            </w:tcBorders>
            <w:shd w:val="clear" w:color="auto" w:fill="FFFFFF"/>
            <w:vAlign w:val="center"/>
          </w:tcPr>
          <w:p w14:paraId="5709030B">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 </w:t>
            </w:r>
          </w:p>
        </w:tc>
        <w:tc>
          <w:tcPr>
            <w:tcW w:w="1134" w:type="dxa"/>
            <w:tcBorders>
              <w:top w:val="nil"/>
              <w:left w:val="nil"/>
              <w:bottom w:val="single" w:color="000000" w:sz="4" w:space="0"/>
              <w:right w:val="single" w:color="000000" w:sz="4" w:space="0"/>
            </w:tcBorders>
            <w:shd w:val="clear" w:color="auto" w:fill="FFFFFF"/>
            <w:vAlign w:val="center"/>
          </w:tcPr>
          <w:p w14:paraId="41826E3D">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 </w:t>
            </w:r>
          </w:p>
        </w:tc>
        <w:tc>
          <w:tcPr>
            <w:tcW w:w="1680" w:type="dxa"/>
            <w:tcBorders>
              <w:top w:val="nil"/>
              <w:left w:val="nil"/>
              <w:bottom w:val="single" w:color="000000" w:sz="4" w:space="0"/>
              <w:right w:val="single" w:color="000000" w:sz="4" w:space="0"/>
            </w:tcBorders>
            <w:shd w:val="clear" w:color="auto" w:fill="FFFFFF"/>
            <w:vAlign w:val="center"/>
          </w:tcPr>
          <w:p w14:paraId="37B5F2B3">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0"/>
                <w:szCs w:val="20"/>
              </w:rPr>
              <w:t> </w:t>
            </w:r>
          </w:p>
        </w:tc>
        <w:tc>
          <w:tcPr>
            <w:tcW w:w="1580" w:type="dxa"/>
            <w:tcBorders>
              <w:top w:val="nil"/>
              <w:left w:val="nil"/>
              <w:bottom w:val="single" w:color="000000" w:sz="4" w:space="0"/>
              <w:right w:val="single" w:color="000000" w:sz="4" w:space="0"/>
            </w:tcBorders>
            <w:shd w:val="clear" w:color="auto" w:fill="FFFFFF"/>
            <w:vAlign w:val="center"/>
          </w:tcPr>
          <w:p w14:paraId="0A8CD8A7">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0"/>
                <w:szCs w:val="20"/>
              </w:rPr>
              <w:t> </w:t>
            </w:r>
          </w:p>
        </w:tc>
      </w:tr>
      <w:tr w14:paraId="2F458318">
        <w:tblPrEx>
          <w:tblCellMar>
            <w:top w:w="0" w:type="dxa"/>
            <w:left w:w="108" w:type="dxa"/>
            <w:bottom w:w="0" w:type="dxa"/>
            <w:right w:w="108" w:type="dxa"/>
          </w:tblCellMar>
        </w:tblPrEx>
        <w:trPr>
          <w:trHeight w:val="270" w:hRule="atLeast"/>
          <w:tblCellSpacing w:w="0" w:type="dxa"/>
        </w:trPr>
        <w:tc>
          <w:tcPr>
            <w:tcW w:w="710" w:type="dxa"/>
            <w:tcBorders>
              <w:top w:val="nil"/>
              <w:left w:val="single" w:color="000000" w:sz="4" w:space="0"/>
              <w:bottom w:val="single" w:color="000000" w:sz="4" w:space="0"/>
              <w:right w:val="single" w:color="000000" w:sz="4" w:space="0"/>
            </w:tcBorders>
            <w:shd w:val="clear" w:color="auto" w:fill="FFFFFF"/>
            <w:vAlign w:val="center"/>
          </w:tcPr>
          <w:p w14:paraId="46D7BCEA">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0"/>
                <w:szCs w:val="20"/>
              </w:rPr>
              <w:t> </w:t>
            </w:r>
          </w:p>
        </w:tc>
        <w:tc>
          <w:tcPr>
            <w:tcW w:w="1134" w:type="dxa"/>
            <w:tcBorders>
              <w:top w:val="nil"/>
              <w:left w:val="nil"/>
              <w:bottom w:val="single" w:color="000000" w:sz="4" w:space="0"/>
              <w:right w:val="single" w:color="000000" w:sz="4" w:space="0"/>
            </w:tcBorders>
            <w:shd w:val="clear" w:color="auto" w:fill="FFFFFF"/>
            <w:vAlign w:val="center"/>
          </w:tcPr>
          <w:p w14:paraId="7200BF7A">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0"/>
                <w:szCs w:val="20"/>
              </w:rPr>
              <w:t> </w:t>
            </w:r>
          </w:p>
        </w:tc>
        <w:tc>
          <w:tcPr>
            <w:tcW w:w="850" w:type="dxa"/>
            <w:tcBorders>
              <w:top w:val="nil"/>
              <w:left w:val="nil"/>
              <w:bottom w:val="single" w:color="000000" w:sz="4" w:space="0"/>
              <w:right w:val="single" w:color="000000" w:sz="4" w:space="0"/>
            </w:tcBorders>
            <w:shd w:val="clear" w:color="auto" w:fill="FFFFFF"/>
            <w:vAlign w:val="center"/>
          </w:tcPr>
          <w:p w14:paraId="74B492AB">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0"/>
                <w:szCs w:val="20"/>
              </w:rPr>
              <w:t> </w:t>
            </w:r>
          </w:p>
        </w:tc>
        <w:tc>
          <w:tcPr>
            <w:tcW w:w="851" w:type="dxa"/>
            <w:tcBorders>
              <w:top w:val="nil"/>
              <w:left w:val="nil"/>
              <w:bottom w:val="single" w:color="000000" w:sz="4" w:space="0"/>
              <w:right w:val="single" w:color="000000" w:sz="4" w:space="0"/>
            </w:tcBorders>
            <w:shd w:val="clear" w:color="auto" w:fill="FFFFFF"/>
            <w:vAlign w:val="center"/>
          </w:tcPr>
          <w:p w14:paraId="5B0EF17B">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0"/>
                <w:szCs w:val="20"/>
              </w:rPr>
              <w:t> </w:t>
            </w:r>
          </w:p>
        </w:tc>
        <w:tc>
          <w:tcPr>
            <w:tcW w:w="992" w:type="dxa"/>
            <w:tcBorders>
              <w:top w:val="nil"/>
              <w:left w:val="nil"/>
              <w:bottom w:val="single" w:color="000000" w:sz="4" w:space="0"/>
              <w:right w:val="single" w:color="000000" w:sz="4" w:space="0"/>
            </w:tcBorders>
            <w:shd w:val="clear" w:color="auto" w:fill="FFFFFF"/>
            <w:vAlign w:val="center"/>
          </w:tcPr>
          <w:p w14:paraId="1F188B89">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 </w:t>
            </w:r>
          </w:p>
        </w:tc>
        <w:tc>
          <w:tcPr>
            <w:tcW w:w="1134" w:type="dxa"/>
            <w:tcBorders>
              <w:top w:val="nil"/>
              <w:left w:val="nil"/>
              <w:bottom w:val="single" w:color="000000" w:sz="4" w:space="0"/>
              <w:right w:val="single" w:color="000000" w:sz="4" w:space="0"/>
            </w:tcBorders>
            <w:shd w:val="clear" w:color="auto" w:fill="FFFFFF"/>
            <w:vAlign w:val="center"/>
          </w:tcPr>
          <w:p w14:paraId="55EA4C25">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 </w:t>
            </w:r>
          </w:p>
        </w:tc>
        <w:tc>
          <w:tcPr>
            <w:tcW w:w="1680" w:type="dxa"/>
            <w:tcBorders>
              <w:top w:val="nil"/>
              <w:left w:val="nil"/>
              <w:bottom w:val="single" w:color="000000" w:sz="4" w:space="0"/>
              <w:right w:val="single" w:color="000000" w:sz="4" w:space="0"/>
            </w:tcBorders>
            <w:shd w:val="clear" w:color="auto" w:fill="FFFFFF"/>
            <w:vAlign w:val="center"/>
          </w:tcPr>
          <w:p w14:paraId="34902499">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0"/>
                <w:szCs w:val="20"/>
              </w:rPr>
              <w:t> </w:t>
            </w:r>
          </w:p>
        </w:tc>
        <w:tc>
          <w:tcPr>
            <w:tcW w:w="1580" w:type="dxa"/>
            <w:tcBorders>
              <w:top w:val="nil"/>
              <w:left w:val="nil"/>
              <w:bottom w:val="single" w:color="000000" w:sz="4" w:space="0"/>
              <w:right w:val="single" w:color="000000" w:sz="4" w:space="0"/>
            </w:tcBorders>
            <w:shd w:val="clear" w:color="auto" w:fill="FFFFFF"/>
            <w:vAlign w:val="center"/>
          </w:tcPr>
          <w:p w14:paraId="11E49F50">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0"/>
                <w:szCs w:val="20"/>
              </w:rPr>
              <w:t> </w:t>
            </w:r>
          </w:p>
        </w:tc>
      </w:tr>
      <w:tr w14:paraId="36EE2C10">
        <w:tblPrEx>
          <w:tblCellMar>
            <w:top w:w="0" w:type="dxa"/>
            <w:left w:w="108" w:type="dxa"/>
            <w:bottom w:w="0" w:type="dxa"/>
            <w:right w:w="108" w:type="dxa"/>
          </w:tblCellMar>
        </w:tblPrEx>
        <w:trPr>
          <w:trHeight w:val="270" w:hRule="atLeast"/>
          <w:tblCellSpacing w:w="0" w:type="dxa"/>
        </w:trPr>
        <w:tc>
          <w:tcPr>
            <w:tcW w:w="710" w:type="dxa"/>
            <w:tcBorders>
              <w:top w:val="nil"/>
              <w:left w:val="single" w:color="000000" w:sz="4" w:space="0"/>
              <w:bottom w:val="single" w:color="000000" w:sz="4" w:space="0"/>
              <w:right w:val="single" w:color="000000" w:sz="4" w:space="0"/>
            </w:tcBorders>
            <w:shd w:val="clear" w:color="auto" w:fill="FFFFFF"/>
            <w:vAlign w:val="center"/>
          </w:tcPr>
          <w:p w14:paraId="26BE2B31">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0"/>
                <w:szCs w:val="20"/>
              </w:rPr>
              <w:t> </w:t>
            </w:r>
          </w:p>
        </w:tc>
        <w:tc>
          <w:tcPr>
            <w:tcW w:w="1134" w:type="dxa"/>
            <w:tcBorders>
              <w:top w:val="nil"/>
              <w:left w:val="nil"/>
              <w:bottom w:val="single" w:color="000000" w:sz="4" w:space="0"/>
              <w:right w:val="single" w:color="000000" w:sz="4" w:space="0"/>
            </w:tcBorders>
            <w:shd w:val="clear" w:color="auto" w:fill="FFFFFF"/>
            <w:vAlign w:val="center"/>
          </w:tcPr>
          <w:p w14:paraId="554DF1C6">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0"/>
                <w:szCs w:val="20"/>
              </w:rPr>
              <w:t> </w:t>
            </w:r>
          </w:p>
        </w:tc>
        <w:tc>
          <w:tcPr>
            <w:tcW w:w="850" w:type="dxa"/>
            <w:tcBorders>
              <w:top w:val="nil"/>
              <w:left w:val="nil"/>
              <w:bottom w:val="single" w:color="000000" w:sz="4" w:space="0"/>
              <w:right w:val="single" w:color="000000" w:sz="4" w:space="0"/>
            </w:tcBorders>
            <w:shd w:val="clear" w:color="auto" w:fill="FFFFFF"/>
            <w:vAlign w:val="center"/>
          </w:tcPr>
          <w:p w14:paraId="6F4801EE">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0"/>
                <w:szCs w:val="20"/>
              </w:rPr>
              <w:t> </w:t>
            </w:r>
          </w:p>
        </w:tc>
        <w:tc>
          <w:tcPr>
            <w:tcW w:w="851" w:type="dxa"/>
            <w:tcBorders>
              <w:top w:val="nil"/>
              <w:left w:val="nil"/>
              <w:bottom w:val="single" w:color="000000" w:sz="4" w:space="0"/>
              <w:right w:val="single" w:color="000000" w:sz="4" w:space="0"/>
            </w:tcBorders>
            <w:shd w:val="clear" w:color="auto" w:fill="FFFFFF"/>
            <w:vAlign w:val="center"/>
          </w:tcPr>
          <w:p w14:paraId="5EC55A82">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0"/>
                <w:szCs w:val="20"/>
              </w:rPr>
              <w:t> </w:t>
            </w:r>
          </w:p>
        </w:tc>
        <w:tc>
          <w:tcPr>
            <w:tcW w:w="992" w:type="dxa"/>
            <w:tcBorders>
              <w:top w:val="nil"/>
              <w:left w:val="nil"/>
              <w:bottom w:val="single" w:color="000000" w:sz="4" w:space="0"/>
              <w:right w:val="single" w:color="000000" w:sz="4" w:space="0"/>
            </w:tcBorders>
            <w:shd w:val="clear" w:color="auto" w:fill="FFFFFF"/>
            <w:vAlign w:val="center"/>
          </w:tcPr>
          <w:p w14:paraId="35A51955">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 </w:t>
            </w:r>
          </w:p>
        </w:tc>
        <w:tc>
          <w:tcPr>
            <w:tcW w:w="1134" w:type="dxa"/>
            <w:tcBorders>
              <w:top w:val="nil"/>
              <w:left w:val="nil"/>
              <w:bottom w:val="single" w:color="000000" w:sz="4" w:space="0"/>
              <w:right w:val="single" w:color="000000" w:sz="4" w:space="0"/>
            </w:tcBorders>
            <w:shd w:val="clear" w:color="auto" w:fill="FFFFFF"/>
            <w:vAlign w:val="center"/>
          </w:tcPr>
          <w:p w14:paraId="2315D97F">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 </w:t>
            </w:r>
          </w:p>
        </w:tc>
        <w:tc>
          <w:tcPr>
            <w:tcW w:w="1680" w:type="dxa"/>
            <w:tcBorders>
              <w:top w:val="nil"/>
              <w:left w:val="nil"/>
              <w:bottom w:val="single" w:color="000000" w:sz="4" w:space="0"/>
              <w:right w:val="single" w:color="000000" w:sz="4" w:space="0"/>
            </w:tcBorders>
            <w:shd w:val="clear" w:color="auto" w:fill="FFFFFF"/>
            <w:vAlign w:val="center"/>
          </w:tcPr>
          <w:p w14:paraId="74B8C70C">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0"/>
                <w:szCs w:val="20"/>
              </w:rPr>
              <w:t> </w:t>
            </w:r>
          </w:p>
        </w:tc>
        <w:tc>
          <w:tcPr>
            <w:tcW w:w="1580" w:type="dxa"/>
            <w:tcBorders>
              <w:top w:val="nil"/>
              <w:left w:val="nil"/>
              <w:bottom w:val="single" w:color="000000" w:sz="4" w:space="0"/>
              <w:right w:val="single" w:color="000000" w:sz="4" w:space="0"/>
            </w:tcBorders>
            <w:shd w:val="clear" w:color="auto" w:fill="FFFFFF"/>
            <w:vAlign w:val="center"/>
          </w:tcPr>
          <w:p w14:paraId="2BA551BE">
            <w:pPr>
              <w:widowControl/>
              <w:jc w:val="center"/>
              <w:rPr>
                <w:rFonts w:ascii="宋体" w:hAnsi="宋体" w:eastAsia="宋体" w:cs="宋体"/>
                <w:kern w:val="0"/>
                <w:sz w:val="24"/>
                <w:szCs w:val="24"/>
              </w:rPr>
            </w:pPr>
            <w:r>
              <w:rPr>
                <w:rFonts w:ascii="Times New Roman" w:hAnsi="Times New Roman" w:eastAsia="宋体" w:cs="Times New Roman"/>
                <w:color w:val="000000"/>
                <w:kern w:val="0"/>
                <w:sz w:val="20"/>
                <w:szCs w:val="20"/>
              </w:rPr>
              <w:t> </w:t>
            </w:r>
          </w:p>
        </w:tc>
      </w:tr>
    </w:tbl>
    <w:p w14:paraId="53092E5A">
      <w:pPr>
        <w:ind w:firstLine="560"/>
        <w:jc w:val="center"/>
        <w:rPr>
          <w:rFonts w:ascii="宋体" w:hAnsi="宋体" w:eastAsia="宋体" w:cs="宋体"/>
          <w:kern w:val="0"/>
          <w:sz w:val="24"/>
          <w:szCs w:val="24"/>
        </w:rPr>
      </w:pPr>
      <w:r>
        <w:rPr>
          <w:rFonts w:ascii="宋体" w:hAnsi="宋体" w:eastAsia="宋体" w:cs="宋体"/>
          <w:kern w:val="0"/>
          <w:sz w:val="24"/>
          <w:szCs w:val="24"/>
        </w:rPr>
        <w:t> </w:t>
      </w:r>
    </w:p>
    <w:p w14:paraId="1A62CA3A">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附件二：</w:t>
      </w:r>
    </w:p>
    <w:p w14:paraId="30EF3182">
      <w:pPr>
        <w:ind w:firstLine="562"/>
        <w:jc w:val="center"/>
        <w:rPr>
          <w:rFonts w:ascii="宋体" w:hAnsi="宋体" w:eastAsia="宋体" w:cs="宋体"/>
          <w:kern w:val="0"/>
          <w:sz w:val="24"/>
          <w:szCs w:val="24"/>
        </w:rPr>
      </w:pPr>
      <w:r>
        <w:rPr>
          <w:rFonts w:hint="eastAsia" w:ascii="仿宋" w:hAnsi="仿宋" w:eastAsia="仿宋" w:cs="宋体"/>
          <w:b/>
          <w:bCs/>
          <w:color w:val="000000"/>
          <w:kern w:val="0"/>
          <w:sz w:val="28"/>
          <w:szCs w:val="28"/>
        </w:rPr>
        <w:t>考试范围（省赛要求）</w:t>
      </w:r>
    </w:p>
    <w:p w14:paraId="253618CE">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本届大学生力学竞赛的内容分为理论力学（仅含静力学内容）和材料力学两部分，重点考核力学基础知识及学生运用所学知识解决工程实际问题的能力，突出高职高专教育的特点。</w:t>
      </w:r>
    </w:p>
    <w:p w14:paraId="7E3FC0EB">
      <w:pPr>
        <w:ind w:firstLine="560"/>
        <w:jc w:val="left"/>
        <w:rPr>
          <w:rFonts w:ascii="宋体" w:hAnsi="宋体" w:eastAsia="宋体" w:cs="宋体"/>
          <w:kern w:val="0"/>
          <w:sz w:val="24"/>
          <w:szCs w:val="24"/>
        </w:rPr>
      </w:pPr>
      <w:r>
        <w:rPr>
          <w:rFonts w:hint="eastAsia" w:ascii="黑体" w:hAnsi="黑体" w:eastAsia="黑体" w:cs="宋体"/>
          <w:color w:val="000000"/>
          <w:kern w:val="0"/>
          <w:sz w:val="28"/>
          <w:szCs w:val="28"/>
        </w:rPr>
        <w:t>理论力学</w:t>
      </w:r>
    </w:p>
    <w:p w14:paraId="54605FBD">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1.力的概念，力的作用效应，作用力与反作用力，两力平衡，力的合成与分解，力在直角坐标轴的投影，合力投影定理；力矩的概念，平面问题中力对点的矩，合力矩定理；力偶的概念，力偶矩，力偶的性质。</w:t>
      </w:r>
    </w:p>
    <w:p w14:paraId="2524869F">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2.刚体的概念；力系的分类与简化；工程中常见约束及约束力，受力分析和受力图。</w:t>
      </w:r>
    </w:p>
    <w:p w14:paraId="024BA1D3">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3.平面汇交力系，平面力偶系的简化；力的平移定理，平面力系向一点的简化，主矢和主矩。</w:t>
      </w:r>
    </w:p>
    <w:p w14:paraId="52812499">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4.平面汇交力系，平面力偶系，平面任意力系的平衡条件、平衡方程及适用条件；单个物体平衡问题的求解。</w:t>
      </w:r>
    </w:p>
    <w:p w14:paraId="45D54205">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5.平面物体系统平衡问题的求解。</w:t>
      </w:r>
    </w:p>
    <w:p w14:paraId="580FF801">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6.滑动摩擦的概念和摩擦力的特征，考虑摩擦时单个物体和简单物体系统的平衡问题分析。</w:t>
      </w:r>
    </w:p>
    <w:p w14:paraId="4A7904A1">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7.确定均质薄板的重心。</w:t>
      </w:r>
    </w:p>
    <w:p w14:paraId="25AB75F2">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8.平面静定桁架的内力计算。</w:t>
      </w:r>
    </w:p>
    <w:p w14:paraId="6B1B7E34">
      <w:pPr>
        <w:ind w:firstLine="560"/>
        <w:jc w:val="left"/>
        <w:rPr>
          <w:rFonts w:ascii="宋体" w:hAnsi="宋体" w:eastAsia="宋体" w:cs="宋体"/>
          <w:kern w:val="0"/>
          <w:sz w:val="24"/>
          <w:szCs w:val="24"/>
        </w:rPr>
      </w:pPr>
      <w:r>
        <w:rPr>
          <w:rFonts w:hint="eastAsia" w:ascii="黑体" w:hAnsi="黑体" w:eastAsia="黑体" w:cs="宋体"/>
          <w:color w:val="000000"/>
          <w:kern w:val="0"/>
          <w:sz w:val="28"/>
          <w:szCs w:val="28"/>
        </w:rPr>
        <w:t>材料力学</w:t>
      </w:r>
    </w:p>
    <w:p w14:paraId="73B6A56E">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1.变形固体的基本假设；截面法和内力、应力、变形、应变的概念。</w:t>
      </w:r>
    </w:p>
    <w:p w14:paraId="2AC2BFEC">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2.轴力与轴力图；直杆横截面及斜截面上的应力；应力集中的概念。</w:t>
      </w:r>
    </w:p>
    <w:p w14:paraId="14E0EEA3">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3.低碳钢和铸铁的拉伸及压缩实验。</w:t>
      </w:r>
    </w:p>
    <w:p w14:paraId="604CE6EA">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4.材料拉伸及压缩时的力学性能，应力-应变曲线。</w:t>
      </w:r>
    </w:p>
    <w:p w14:paraId="586AFD7C">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5.拉压杆强度条件，安全因数及许用应力。</w:t>
      </w:r>
    </w:p>
    <w:p w14:paraId="74D95E68">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6.拉压杆变形，胡克定律，弹性模量，泊松比。</w:t>
      </w:r>
    </w:p>
    <w:p w14:paraId="5BC8B692">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7.简单拉压超静定问题。</w:t>
      </w:r>
    </w:p>
    <w:p w14:paraId="6E6A2111">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8.剪切及挤压的概念和实用计算。</w:t>
      </w:r>
    </w:p>
    <w:p w14:paraId="6C21186E">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9.扭矩及扭矩图；切应力互等定理；剪切胡克定律，圆轴扭转的应力与变形，扭转强度及刚度条件。</w:t>
      </w:r>
    </w:p>
    <w:p w14:paraId="5AD23690">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10.截面的静矩、惯性矩，平行移轴公式。</w:t>
      </w:r>
    </w:p>
    <w:p w14:paraId="0701CEDF">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11.梁平面弯曲的内力，剪力方程、弯矩方程，剪力图、弯矩图。</w:t>
      </w:r>
    </w:p>
    <w:p w14:paraId="167922A4">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12.弯曲正应力及其强度条件，提高弯曲强度的措施。</w:t>
      </w:r>
    </w:p>
    <w:p w14:paraId="7DA55D86">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13.梁的变形计算，梁的刚度校核，提高梁弯曲刚度的措施。</w:t>
      </w:r>
    </w:p>
    <w:p w14:paraId="47963E9D">
      <w:pPr>
        <w:ind w:firstLine="560"/>
        <w:jc w:val="left"/>
        <w:rPr>
          <w:rFonts w:ascii="宋体" w:hAnsi="宋体" w:eastAsia="宋体" w:cs="宋体"/>
          <w:kern w:val="0"/>
          <w:sz w:val="24"/>
          <w:szCs w:val="24"/>
        </w:rPr>
      </w:pPr>
      <w:r>
        <w:rPr>
          <w:rFonts w:hint="eastAsia" w:ascii="仿宋" w:hAnsi="仿宋" w:eastAsia="仿宋" w:cs="宋体"/>
          <w:color w:val="000000"/>
          <w:kern w:val="0"/>
          <w:sz w:val="28"/>
          <w:szCs w:val="28"/>
        </w:rPr>
        <w:t>14.单跨超静定梁的计算。</w:t>
      </w:r>
    </w:p>
    <w:p w14:paraId="29E20B85">
      <w:pPr>
        <w:ind w:firstLine="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15.拉（压）弯组合和斜弯曲变形下杆件的强度计算。</w:t>
      </w:r>
    </w:p>
    <w:p w14:paraId="51A091C9">
      <w:pPr>
        <w:ind w:firstLine="560"/>
        <w:jc w:val="left"/>
        <w:rPr>
          <w:rFonts w:ascii="仿宋" w:hAnsi="仿宋" w:eastAsia="仿宋" w:cs="宋体"/>
          <w:color w:val="000000"/>
          <w:kern w:val="0"/>
          <w:sz w:val="28"/>
          <w:szCs w:val="28"/>
        </w:rPr>
      </w:pPr>
    </w:p>
    <w:p w14:paraId="118807D4">
      <w:pPr>
        <w:ind w:firstLine="560"/>
        <w:jc w:val="left"/>
        <w:rPr>
          <w:rFonts w:hint="eastAsia" w:ascii="仿宋" w:hAnsi="仿宋" w:eastAsia="仿宋" w:cs="宋体"/>
          <w:b/>
          <w:color w:val="000000"/>
          <w:kern w:val="0"/>
          <w:sz w:val="28"/>
          <w:szCs w:val="28"/>
          <w:u w:val="single"/>
        </w:rPr>
      </w:pPr>
      <w:r>
        <w:rPr>
          <w:rFonts w:hint="eastAsia" w:ascii="仿宋" w:hAnsi="仿宋" w:eastAsia="仿宋" w:cs="宋体"/>
          <w:b/>
          <w:color w:val="000000"/>
          <w:kern w:val="0"/>
          <w:sz w:val="28"/>
          <w:szCs w:val="28"/>
          <w:u w:val="single"/>
        </w:rPr>
        <w:t>注：考虑到2</w:t>
      </w:r>
      <w:r>
        <w:rPr>
          <w:rFonts w:ascii="仿宋" w:hAnsi="仿宋" w:eastAsia="仿宋" w:cs="宋体"/>
          <w:b/>
          <w:color w:val="000000"/>
          <w:kern w:val="0"/>
          <w:sz w:val="28"/>
          <w:szCs w:val="28"/>
          <w:u w:val="single"/>
        </w:rPr>
        <w:t>024</w:t>
      </w:r>
      <w:r>
        <w:rPr>
          <w:rFonts w:hint="eastAsia" w:ascii="仿宋" w:hAnsi="仿宋" w:eastAsia="仿宋" w:cs="宋体"/>
          <w:b/>
          <w:color w:val="000000"/>
          <w:kern w:val="0"/>
          <w:sz w:val="28"/>
          <w:szCs w:val="28"/>
          <w:u w:val="single"/>
        </w:rPr>
        <w:t>届学生的工程力学教学进度问题，选拔赛的考试范围相对缩小：构件的位移计算、变形计算、超静定结构计算等内容暂时不作要求。</w:t>
      </w:r>
    </w:p>
    <w:p w14:paraId="429F3B5D">
      <w:pPr>
        <w:ind w:firstLine="560"/>
        <w:jc w:val="left"/>
        <w:rPr>
          <w:rFonts w:hint="eastAsia"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AFB"/>
    <w:rsid w:val="00284B14"/>
    <w:rsid w:val="003A6538"/>
    <w:rsid w:val="003C7439"/>
    <w:rsid w:val="004221A8"/>
    <w:rsid w:val="00754AFB"/>
    <w:rsid w:val="00A94CDF"/>
    <w:rsid w:val="00BF28D8"/>
    <w:rsid w:val="00EA272D"/>
    <w:rsid w:val="00EF3FAC"/>
    <w:rsid w:val="70167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1578</Words>
  <Characters>1686</Characters>
  <Lines>13</Lines>
  <Paragraphs>3</Paragraphs>
  <TotalTime>15</TotalTime>
  <ScaleCrop>false</ScaleCrop>
  <LinksUpToDate>false</LinksUpToDate>
  <CharactersWithSpaces>1834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2025-03-03T13:42:00Z</dcterms:created>
  <dc:creator>JFC</dc:creator>
  <cp:lastModifiedBy>朱星</cp:lastModifiedBy>
  <dcterms:modified xsi:type="dcterms:W3CDTF">2025-03-03T14:08:54Z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eyJoZGlkIjoiOTRlNWM0ZjgzYWM3NzRhZmY4ZDg3YTUwNDg1NTc4OWEiLCJ1c2VySWQiOiI0MDc3MzYzMTQifQ==</vt:lpwstr>
  </property>
  <property fmtid="{D5CDD505-2E9C-101B-9397-08002B2CF9AE}" pid="3" name="KSOProductBuildVer">
    <vt:lpwstr>2052-12.1.0.20305</vt:lpwstr>
  </property>
  <property fmtid="{D5CDD505-2E9C-101B-9397-08002B2CF9AE}" pid="4" name="ICV">
    <vt:lpwstr>3AF4AFC2A3AC40A4B67EA3A27D1D43DA_12</vt:lpwstr>
  </property>
</Properties>
</file>